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7EFF4" w14:textId="04E1587D" w:rsidR="00413EE9" w:rsidRDefault="003C763B" w:rsidP="003C763B">
      <w:pPr>
        <w:ind w:left="360"/>
        <w:jc w:val="center"/>
        <w:rPr>
          <w:rFonts w:ascii="Times New Roman" w:hAnsi="Times New Roman" w:cs="Times New Roman"/>
          <w:b/>
          <w:color w:val="222222"/>
          <w:sz w:val="22"/>
          <w:szCs w:val="22"/>
        </w:rPr>
      </w:pPr>
      <w:r>
        <w:rPr>
          <w:rFonts w:ascii="Times New Roman" w:hAnsi="Times New Roman" w:cs="Times New Roman"/>
          <w:b/>
          <w:color w:val="222222"/>
          <w:sz w:val="22"/>
          <w:szCs w:val="22"/>
        </w:rPr>
        <w:t>ASALAH GOVERNANCE COMMITTEE</w:t>
      </w:r>
    </w:p>
    <w:p w14:paraId="4B54878F" w14:textId="77777777" w:rsidR="003C763B" w:rsidRDefault="003C763B" w:rsidP="003C763B">
      <w:pPr>
        <w:ind w:left="360"/>
        <w:jc w:val="center"/>
        <w:rPr>
          <w:rFonts w:ascii="Times New Roman" w:hAnsi="Times New Roman" w:cs="Times New Roman"/>
          <w:b/>
          <w:color w:val="222222"/>
          <w:sz w:val="22"/>
          <w:szCs w:val="22"/>
        </w:rPr>
      </w:pPr>
    </w:p>
    <w:p w14:paraId="540C573A" w14:textId="77777777" w:rsidR="003C763B" w:rsidRDefault="003C763B" w:rsidP="003C763B">
      <w:pPr>
        <w:ind w:left="360"/>
        <w:jc w:val="center"/>
        <w:rPr>
          <w:rFonts w:ascii="Times New Roman" w:hAnsi="Times New Roman" w:cs="Times New Roman"/>
          <w:b/>
          <w:color w:val="222222"/>
          <w:sz w:val="22"/>
          <w:szCs w:val="22"/>
        </w:rPr>
      </w:pPr>
    </w:p>
    <w:p w14:paraId="4CED23C7" w14:textId="77777777" w:rsidR="00413EE9" w:rsidRDefault="00413EE9" w:rsidP="00CC64DF">
      <w:pPr>
        <w:ind w:left="360"/>
        <w:rPr>
          <w:rFonts w:ascii="Times New Roman" w:hAnsi="Times New Roman" w:cs="Times New Roman"/>
          <w:b/>
          <w:color w:val="222222"/>
          <w:sz w:val="22"/>
          <w:szCs w:val="22"/>
        </w:rPr>
      </w:pPr>
    </w:p>
    <w:p w14:paraId="408275B7" w14:textId="77777777" w:rsidR="00413EE9" w:rsidRPr="007F4943" w:rsidRDefault="00413EE9" w:rsidP="00CC64DF">
      <w:pPr>
        <w:ind w:left="360"/>
        <w:rPr>
          <w:rFonts w:ascii="Times New Roman" w:hAnsi="Times New Roman" w:cs="Times New Roman"/>
          <w:b/>
          <w:color w:val="222222"/>
          <w:sz w:val="22"/>
          <w:szCs w:val="22"/>
        </w:rPr>
      </w:pPr>
    </w:p>
    <w:p w14:paraId="67EAC0F3" w14:textId="67C5EA7F" w:rsidR="00CC64DF" w:rsidRPr="00132915" w:rsidRDefault="00CC64DF" w:rsidP="007F4943">
      <w:pPr>
        <w:rPr>
          <w:rFonts w:ascii="Times New Roman" w:hAnsi="Times New Roman" w:cs="Times New Roman"/>
          <w:b/>
          <w:color w:val="222222"/>
          <w:sz w:val="28"/>
          <w:szCs w:val="28"/>
        </w:rPr>
      </w:pPr>
      <w:r w:rsidRPr="00132915">
        <w:rPr>
          <w:rFonts w:ascii="Times New Roman" w:hAnsi="Times New Roman" w:cs="Times New Roman"/>
          <w:b/>
          <w:color w:val="222222"/>
          <w:sz w:val="28"/>
          <w:szCs w:val="28"/>
        </w:rPr>
        <w:t>Standing Rule</w:t>
      </w:r>
      <w:r w:rsidR="007F4943" w:rsidRPr="00132915">
        <w:rPr>
          <w:rFonts w:ascii="Times New Roman" w:hAnsi="Times New Roman" w:cs="Times New Roman"/>
          <w:b/>
          <w:color w:val="222222"/>
          <w:sz w:val="28"/>
          <w:szCs w:val="28"/>
        </w:rPr>
        <w:t>s</w:t>
      </w:r>
      <w:r w:rsidRPr="00132915">
        <w:rPr>
          <w:rFonts w:ascii="Times New Roman" w:hAnsi="Times New Roman" w:cs="Times New Roman"/>
          <w:b/>
          <w:color w:val="222222"/>
          <w:sz w:val="28"/>
          <w:szCs w:val="28"/>
        </w:rPr>
        <w:t>:</w:t>
      </w:r>
    </w:p>
    <w:p w14:paraId="33F91174" w14:textId="77777777" w:rsidR="00CC64DF" w:rsidRPr="007F4943" w:rsidRDefault="00CC64DF" w:rsidP="00CC64DF">
      <w:pPr>
        <w:ind w:left="360"/>
        <w:rPr>
          <w:rFonts w:ascii="Times New Roman" w:hAnsi="Times New Roman" w:cs="Times New Roman"/>
          <w:b/>
          <w:color w:val="222222"/>
          <w:sz w:val="22"/>
          <w:szCs w:val="22"/>
        </w:rPr>
      </w:pPr>
    </w:p>
    <w:p w14:paraId="65BC83EA" w14:textId="77777777" w:rsidR="00132915" w:rsidRDefault="00132915" w:rsidP="00132915">
      <w:pPr>
        <w:rPr>
          <w:rFonts w:ascii="Times New Roman" w:hAnsi="Times New Roman" w:cs="Times New Roman"/>
          <w:b/>
        </w:rPr>
      </w:pPr>
    </w:p>
    <w:p w14:paraId="51BA8EF7" w14:textId="2D40840F" w:rsidR="00CC64DF" w:rsidRPr="00132915" w:rsidRDefault="00132915" w:rsidP="00976868">
      <w:pPr>
        <w:rPr>
          <w:rFonts w:ascii="Times New Roman" w:hAnsi="Times New Roman" w:cs="Times New Roman"/>
          <w:b/>
          <w:color w:val="222222"/>
        </w:rPr>
      </w:pPr>
      <w:bookmarkStart w:id="0" w:name="_GoBack"/>
      <w:bookmarkEnd w:id="0"/>
      <w:r w:rsidRPr="00132915">
        <w:rPr>
          <w:rFonts w:ascii="Times New Roman" w:hAnsi="Times New Roman" w:cs="Times New Roman"/>
          <w:b/>
          <w:color w:val="222222"/>
        </w:rPr>
        <w:t>Current Language:</w:t>
      </w:r>
      <w:r w:rsidRPr="00132915">
        <w:rPr>
          <w:rFonts w:ascii="Times New Roman" w:hAnsi="Times New Roman" w:cs="Times New Roman"/>
          <w:b/>
          <w:color w:val="222222"/>
        </w:rPr>
        <w:tab/>
      </w:r>
    </w:p>
    <w:p w14:paraId="7D0B845A" w14:textId="77777777" w:rsidR="00CC64DF" w:rsidRPr="00132915" w:rsidRDefault="00CC64DF" w:rsidP="00CC64DF">
      <w:pPr>
        <w:rPr>
          <w:rFonts w:ascii="Times New Roman" w:hAnsi="Times New Roman" w:cs="Times New Roman"/>
          <w:color w:val="222222"/>
        </w:rPr>
      </w:pPr>
    </w:p>
    <w:p w14:paraId="3DE15CBE" w14:textId="6319F7DE" w:rsidR="00CC64DF" w:rsidRPr="00132915" w:rsidRDefault="00132915" w:rsidP="00CC64DF">
      <w:pPr>
        <w:pStyle w:val="ListParagraph"/>
        <w:numPr>
          <w:ilvl w:val="0"/>
          <w:numId w:val="1"/>
        </w:numPr>
        <w:ind w:left="1080"/>
      </w:pPr>
      <w:r w:rsidRPr="00132915">
        <w:t>I</w:t>
      </w:r>
      <w:r w:rsidR="00CC64DF" w:rsidRPr="00132915">
        <w:t xml:space="preserve">f a Council member is </w:t>
      </w:r>
      <w:r w:rsidRPr="00132915">
        <w:t xml:space="preserve">12 months in arrears they </w:t>
      </w:r>
      <w:r w:rsidR="00CC64DF" w:rsidRPr="00132915">
        <w:t xml:space="preserve">lose their voting privileges. </w:t>
      </w:r>
      <w:r w:rsidRPr="00132915">
        <w:t>3/2010</w:t>
      </w:r>
    </w:p>
    <w:p w14:paraId="0924569F" w14:textId="77777777" w:rsidR="00CC64DF" w:rsidRPr="00132915" w:rsidRDefault="00CC64DF">
      <w:pPr>
        <w:rPr>
          <w:rFonts w:ascii="Times New Roman" w:hAnsi="Times New Roman" w:cs="Times New Roman"/>
        </w:rPr>
      </w:pPr>
    </w:p>
    <w:p w14:paraId="521BC2D7" w14:textId="77777777" w:rsidR="00CC64DF" w:rsidRPr="007F4943" w:rsidRDefault="00CC64DF">
      <w:pPr>
        <w:rPr>
          <w:rFonts w:ascii="Times New Roman" w:hAnsi="Times New Roman" w:cs="Times New Roman"/>
          <w:b/>
        </w:rPr>
      </w:pPr>
      <w:r w:rsidRPr="007F4943">
        <w:rPr>
          <w:rFonts w:ascii="Times New Roman" w:hAnsi="Times New Roman" w:cs="Times New Roman"/>
          <w:b/>
        </w:rPr>
        <w:t>New Language:</w:t>
      </w:r>
    </w:p>
    <w:p w14:paraId="0E0E8AF9" w14:textId="77777777" w:rsidR="00CC64DF" w:rsidRPr="007F4943" w:rsidRDefault="00CC64DF">
      <w:pPr>
        <w:rPr>
          <w:rFonts w:ascii="Times New Roman" w:hAnsi="Times New Roman" w:cs="Times New Roman"/>
        </w:rPr>
      </w:pPr>
    </w:p>
    <w:p w14:paraId="268CB74E" w14:textId="1E514E6E" w:rsidR="00CC64DF" w:rsidRPr="00132915" w:rsidRDefault="00CC64DF">
      <w:pPr>
        <w:rPr>
          <w:rFonts w:ascii="Times New Roman" w:hAnsi="Times New Roman" w:cs="Times New Roman"/>
          <w:b/>
        </w:rPr>
      </w:pPr>
      <w:r w:rsidRPr="00132915">
        <w:rPr>
          <w:rFonts w:ascii="Times New Roman" w:hAnsi="Times New Roman" w:cs="Times New Roman"/>
          <w:b/>
        </w:rPr>
        <w:t xml:space="preserve">Executive Council members must pay all Executive Council dues </w:t>
      </w:r>
      <w:r w:rsidR="00976868" w:rsidRPr="00132915">
        <w:rPr>
          <w:rFonts w:ascii="Times New Roman" w:hAnsi="Times New Roman" w:cs="Times New Roman"/>
          <w:b/>
        </w:rPr>
        <w:t xml:space="preserve">and financial </w:t>
      </w:r>
      <w:r w:rsidRPr="00132915">
        <w:rPr>
          <w:rFonts w:ascii="Times New Roman" w:hAnsi="Times New Roman" w:cs="Times New Roman"/>
          <w:b/>
        </w:rPr>
        <w:t xml:space="preserve">obligations in full by December 31 of each calendar year or they will forfeit their position on </w:t>
      </w:r>
      <w:r w:rsidR="00FF6E1B">
        <w:rPr>
          <w:rFonts w:ascii="Times New Roman" w:hAnsi="Times New Roman" w:cs="Times New Roman"/>
          <w:b/>
        </w:rPr>
        <w:t xml:space="preserve">the </w:t>
      </w:r>
      <w:r w:rsidRPr="00132915">
        <w:rPr>
          <w:rFonts w:ascii="Times New Roman" w:hAnsi="Times New Roman" w:cs="Times New Roman"/>
          <w:b/>
        </w:rPr>
        <w:t xml:space="preserve">Executive Council.  </w:t>
      </w:r>
    </w:p>
    <w:p w14:paraId="7F60F4B0" w14:textId="77777777" w:rsidR="00CC64DF" w:rsidRPr="007F4943" w:rsidRDefault="00CC64DF">
      <w:pPr>
        <w:rPr>
          <w:rFonts w:ascii="Times New Roman" w:hAnsi="Times New Roman" w:cs="Times New Roman"/>
        </w:rPr>
      </w:pPr>
    </w:p>
    <w:p w14:paraId="4597FD79" w14:textId="77777777" w:rsidR="00CC64DF" w:rsidRPr="007F4943" w:rsidRDefault="00CC64DF">
      <w:pPr>
        <w:rPr>
          <w:rFonts w:ascii="Times New Roman" w:hAnsi="Times New Roman" w:cs="Times New Roman"/>
          <w:b/>
        </w:rPr>
      </w:pPr>
      <w:r w:rsidRPr="007F4943">
        <w:rPr>
          <w:rFonts w:ascii="Times New Roman" w:hAnsi="Times New Roman" w:cs="Times New Roman"/>
          <w:b/>
        </w:rPr>
        <w:t xml:space="preserve">Rationale:  </w:t>
      </w:r>
    </w:p>
    <w:p w14:paraId="72E3D668" w14:textId="77777777" w:rsidR="00CC64DF" w:rsidRPr="007F4943" w:rsidRDefault="00CC64DF">
      <w:pPr>
        <w:rPr>
          <w:rFonts w:ascii="Times New Roman" w:hAnsi="Times New Roman" w:cs="Times New Roman"/>
        </w:rPr>
      </w:pPr>
    </w:p>
    <w:p w14:paraId="29A5509D" w14:textId="77777777" w:rsidR="00CC64DF" w:rsidRPr="007F4943" w:rsidRDefault="00CC64DF">
      <w:pPr>
        <w:rPr>
          <w:rFonts w:ascii="Times New Roman" w:hAnsi="Times New Roman" w:cs="Times New Roman"/>
        </w:rPr>
      </w:pPr>
      <w:r w:rsidRPr="007F4943">
        <w:rPr>
          <w:rFonts w:ascii="Times New Roman" w:hAnsi="Times New Roman" w:cs="Times New Roman"/>
        </w:rPr>
        <w:t xml:space="preserve">Upon being elected to the Council, all Executive Council Members sign an agreement which outlines their roles and responsibility.  Within that agreement is the financial pledge that is required of all members and serves to support the fiscal solvency of the organization.  Non-payment of this commitment weakens the financial position of the organization and it negates the ability to evidence 100% Board giving for sponsors and grantors.  </w:t>
      </w:r>
    </w:p>
    <w:p w14:paraId="46126230" w14:textId="77777777" w:rsidR="00CC64DF" w:rsidRPr="007F4943" w:rsidRDefault="00CC64DF">
      <w:pPr>
        <w:rPr>
          <w:rFonts w:ascii="Times New Roman" w:hAnsi="Times New Roman" w:cs="Times New Roman"/>
        </w:rPr>
      </w:pPr>
    </w:p>
    <w:p w14:paraId="4A4DAC65" w14:textId="77777777" w:rsidR="00CC64DF" w:rsidRPr="007F4943" w:rsidRDefault="00CC64DF">
      <w:pPr>
        <w:rPr>
          <w:rFonts w:ascii="Times New Roman" w:hAnsi="Times New Roman" w:cs="Times New Roman"/>
        </w:rPr>
      </w:pPr>
    </w:p>
    <w:sectPr w:rsidR="00CC64DF" w:rsidRPr="007F4943" w:rsidSect="003B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02F6"/>
    <w:multiLevelType w:val="hybridMultilevel"/>
    <w:tmpl w:val="39A6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DF"/>
    <w:rsid w:val="00132915"/>
    <w:rsid w:val="003B4F5A"/>
    <w:rsid w:val="003C763B"/>
    <w:rsid w:val="00413EE9"/>
    <w:rsid w:val="00420642"/>
    <w:rsid w:val="007668CE"/>
    <w:rsid w:val="007F4943"/>
    <w:rsid w:val="00976868"/>
    <w:rsid w:val="009C2C51"/>
    <w:rsid w:val="00CC64DF"/>
    <w:rsid w:val="00E66429"/>
    <w:rsid w:val="00FD6AA5"/>
    <w:rsid w:val="00FF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C1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DF"/>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123</Words>
  <Characters>704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Zende Clark</dc:creator>
  <cp:keywords/>
  <dc:description/>
  <cp:lastModifiedBy>Zende Clark</cp:lastModifiedBy>
  <cp:revision>4</cp:revision>
  <dcterms:created xsi:type="dcterms:W3CDTF">2020-05-27T00:21:00Z</dcterms:created>
  <dcterms:modified xsi:type="dcterms:W3CDTF">2020-05-27T01:09:00Z</dcterms:modified>
</cp:coreProperties>
</file>